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1CC26" w14:textId="77777777" w:rsidR="00C36B26" w:rsidRDefault="00EF3B3A" w:rsidP="00C36B26">
      <w:pPr>
        <w:pStyle w:val="Header"/>
        <w:spacing w:after="160"/>
        <w:jc w:val="center"/>
        <w:rPr>
          <w:rFonts w:ascii="Microsoft Sans Serif" w:hAnsi="Microsoft Sans Serif" w:cs="Microsoft Sans Serif"/>
        </w:rPr>
      </w:pPr>
      <w:r w:rsidRPr="00C36B26">
        <w:rPr>
          <w:rFonts w:ascii="Microsoft Sans Serif" w:hAnsi="Microsoft Sans Serif" w:cs="Microsoft Sans Serif"/>
          <w:noProof/>
        </w:rPr>
        <w:drawing>
          <wp:inline distT="0" distB="0" distL="0" distR="0" wp14:anchorId="72EE8D3A" wp14:editId="44ACEF4B">
            <wp:extent cx="2842260" cy="59045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879629" cy="598222"/>
                    </a:xfrm>
                    <a:prstGeom prst="rect">
                      <a:avLst/>
                    </a:prstGeom>
                    <a:noFill/>
                    <a:ln>
                      <a:noFill/>
                    </a:ln>
                  </pic:spPr>
                </pic:pic>
              </a:graphicData>
            </a:graphic>
          </wp:inline>
        </w:drawing>
      </w:r>
    </w:p>
    <w:p w14:paraId="2A01A433" w14:textId="77777777" w:rsidR="00C36B26" w:rsidRDefault="00EF3B3A" w:rsidP="00B35E0C">
      <w:pPr>
        <w:spacing w:after="120"/>
        <w:jc w:val="center"/>
        <w:rPr>
          <w:rFonts w:cs="Arial"/>
          <w:b/>
          <w:bCs/>
          <w:sz w:val="18"/>
          <w:szCs w:val="18"/>
        </w:rPr>
      </w:pPr>
      <w:r>
        <w:rPr>
          <w:noProof/>
        </w:rPr>
        <mc:AlternateContent>
          <mc:Choice Requires="wps">
            <w:drawing>
              <wp:anchor distT="4294967294" distB="4294967294" distL="114300" distR="114300" simplePos="0" relativeHeight="251657728" behindDoc="0" locked="0" layoutInCell="1" allowOverlap="1" wp14:anchorId="3964E896" wp14:editId="6F3BA23F">
                <wp:simplePos x="0" y="0"/>
                <wp:positionH relativeFrom="column">
                  <wp:posOffset>-22860</wp:posOffset>
                </wp:positionH>
                <wp:positionV relativeFrom="paragraph">
                  <wp:posOffset>789304</wp:posOffset>
                </wp:positionV>
                <wp:extent cx="6033135" cy="0"/>
                <wp:effectExtent l="0" t="0" r="5715"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313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603F6A"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62.15pt" to="473.25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" strokeweight="1.5pt">
                <o:lock v:ext="edit" shapetype="f"/>
              </v:line>
            </w:pict>
          </mc:Fallback>
        </mc:AlternateContent>
      </w:r>
      <w:r w:rsidR="00C36B26" w:rsidRPr="00186D83">
        <w:rPr>
          <w:rFonts w:ascii="Microsoft Sans Serif" w:hAnsi="Microsoft Sans Serif" w:cs="Microsoft Sans Serif"/>
          <w:i/>
          <w:color w:val="008000"/>
          <w:sz w:val="18"/>
          <w:szCs w:val="18"/>
        </w:rPr>
        <w:t xml:space="preserve">This guidance document is advisory in nature but is binding on an agency until amended by such agency. </w:t>
      </w:r>
      <w:r w:rsidR="00572C2D">
        <w:rPr>
          <w:rFonts w:ascii="Microsoft Sans Serif" w:hAnsi="Microsoft Sans Serif" w:cs="Microsoft Sans Serif"/>
          <w:i/>
          <w:color w:val="008000"/>
          <w:sz w:val="18"/>
          <w:szCs w:val="18"/>
        </w:rPr>
        <w:t xml:space="preserve"> </w:t>
      </w:r>
      <w:r w:rsidR="00C36B26" w:rsidRPr="00186D83">
        <w:rPr>
          <w:rFonts w:ascii="Microsoft Sans Serif" w:hAnsi="Microsoft Sans Serif" w:cs="Microsoft Sans Serif"/>
          <w:i/>
          <w:color w:val="008000"/>
          <w:sz w:val="18"/>
          <w:szCs w:val="18"/>
        </w:rPr>
        <w:t>A guidance document does not include internal procedural documents that only affect the internal operations of the agency and does not impose additional requirements or penalties on regulated parties or include confidential information or rules and regulations made in accordance with the Administrative Procedure Act. If you believe that this guidance document imposes additional requirements or penalties on regulated parties, you may request a review of the document</w:t>
      </w:r>
      <w:r w:rsidR="00C36B26">
        <w:rPr>
          <w:rFonts w:ascii="Microsoft Sans Serif" w:hAnsi="Microsoft Sans Serif" w:cs="Microsoft Sans Serif"/>
          <w:i/>
          <w:color w:val="008000"/>
          <w:sz w:val="18"/>
          <w:szCs w:val="18"/>
        </w:rPr>
        <w:t>.</w:t>
      </w:r>
      <w:r w:rsidR="00C36B26" w:rsidRPr="00186D83">
        <w:rPr>
          <w:rFonts w:cs="Arial"/>
          <w:b/>
          <w:bCs/>
          <w:sz w:val="18"/>
          <w:szCs w:val="18"/>
        </w:rPr>
        <w:t xml:space="preserve"> </w:t>
      </w:r>
    </w:p>
    <w:p w14:paraId="1C04FC91" w14:textId="742863CE" w:rsidR="00C36B26" w:rsidRPr="000A2412" w:rsidRDefault="00C36B26" w:rsidP="00B35E0C">
      <w:pPr>
        <w:tabs>
          <w:tab w:val="right" w:pos="9360"/>
        </w:tabs>
        <w:spacing w:after="440"/>
        <w:rPr>
          <w:rFonts w:cs="Arial"/>
          <w:sz w:val="20"/>
        </w:rPr>
      </w:pPr>
      <w:r>
        <w:rPr>
          <w:rFonts w:cs="Arial"/>
          <w:sz w:val="20"/>
        </w:rPr>
        <w:t>00-069</w:t>
      </w:r>
      <w:r w:rsidRPr="000A2412">
        <w:rPr>
          <w:rFonts w:cs="Arial"/>
          <w:sz w:val="20"/>
        </w:rPr>
        <w:tab/>
      </w:r>
      <w:r w:rsidR="006535F1">
        <w:rPr>
          <w:rFonts w:cs="Arial"/>
          <w:sz w:val="20"/>
        </w:rPr>
        <w:t>August 1, 202</w:t>
      </w:r>
      <w:r w:rsidR="00965D03">
        <w:rPr>
          <w:rFonts w:cs="Arial"/>
          <w:sz w:val="20"/>
        </w:rPr>
        <w:t>4</w:t>
      </w:r>
      <w:r>
        <w:rPr>
          <w:rFonts w:cs="Arial"/>
          <w:sz w:val="20"/>
        </w:rPr>
        <w:t xml:space="preserve"> </w:t>
      </w:r>
    </w:p>
    <w:p w14:paraId="0659F775" w14:textId="77777777" w:rsidR="002B5C86" w:rsidRDefault="002B5C86" w:rsidP="00C36B26">
      <w:pPr>
        <w:tabs>
          <w:tab w:val="right" w:pos="10080"/>
        </w:tabs>
        <w:spacing w:after="320" w:line="192" w:lineRule="auto"/>
        <w:ind w:left="-450" w:firstLine="450"/>
        <w:jc w:val="center"/>
        <w:rPr>
          <w:b/>
          <w:sz w:val="32"/>
        </w:rPr>
      </w:pPr>
      <w:r>
        <w:rPr>
          <w:b/>
          <w:sz w:val="32"/>
        </w:rPr>
        <w:t>Summary of Title 200</w:t>
      </w:r>
    </w:p>
    <w:p w14:paraId="4477007F" w14:textId="77777777" w:rsidR="002B5C86" w:rsidRPr="00C36B26" w:rsidRDefault="002B5C86" w:rsidP="00C36B26">
      <w:pPr>
        <w:keepNext/>
        <w:tabs>
          <w:tab w:val="left" w:pos="720"/>
        </w:tabs>
        <w:spacing w:after="120"/>
        <w:jc w:val="center"/>
        <w:rPr>
          <w:u w:val="single"/>
        </w:rPr>
      </w:pPr>
      <w:r>
        <w:rPr>
          <w:u w:val="single"/>
        </w:rPr>
        <w:t>The Title 200 Program</w:t>
      </w:r>
    </w:p>
    <w:p w14:paraId="245ADC6F" w14:textId="2AF57174" w:rsidR="002B5C86" w:rsidRDefault="004E0EA4" w:rsidP="00AE362A">
      <w:pPr>
        <w:tabs>
          <w:tab w:val="left" w:pos="720"/>
        </w:tabs>
        <w:spacing w:after="240"/>
      </w:pPr>
      <w:r>
        <w:t xml:space="preserve">The Petroleum Release Remedial Action Cash Fund (Fund) is managed by the NDEE’s Petroleum Remediation Section (PRS).  The Fund assists </w:t>
      </w:r>
      <w:r w:rsidR="002B5C86">
        <w:t>tank</w:t>
      </w:r>
      <w:r>
        <w:t xml:space="preserve"> owner/operators</w:t>
      </w:r>
      <w:r w:rsidR="002B5C86">
        <w:t xml:space="preserve"> </w:t>
      </w:r>
      <w:r>
        <w:t>with</w:t>
      </w:r>
      <w:r w:rsidR="002B5C86">
        <w:t xml:space="preserve"> costs </w:t>
      </w:r>
      <w:r w:rsidR="001F761B">
        <w:t xml:space="preserve">to </w:t>
      </w:r>
      <w:r w:rsidR="002B5C86">
        <w:t>investigat</w:t>
      </w:r>
      <w:r w:rsidR="001F761B">
        <w:t>e</w:t>
      </w:r>
      <w:r w:rsidR="002B5C86">
        <w:t xml:space="preserve"> </w:t>
      </w:r>
      <w:r w:rsidR="007C1B39">
        <w:t>and</w:t>
      </w:r>
      <w:r w:rsidR="002B5C86">
        <w:t xml:space="preserve"> </w:t>
      </w:r>
      <w:r w:rsidR="00FC1CFE">
        <w:t xml:space="preserve">cleanup </w:t>
      </w:r>
      <w:r>
        <w:t>petroleum releases</w:t>
      </w:r>
      <w:r w:rsidR="002B5C86">
        <w:t xml:space="preserve">.  </w:t>
      </w:r>
      <w:r>
        <w:t>R</w:t>
      </w:r>
      <w:r w:rsidR="002B5C86">
        <w:t>elease</w:t>
      </w:r>
      <w:r w:rsidR="00A93BD2">
        <w:t>s</w:t>
      </w:r>
      <w:r w:rsidR="002B5C86">
        <w:t xml:space="preserve"> reported after July</w:t>
      </w:r>
      <w:r w:rsidR="006535F1">
        <w:t xml:space="preserve"> </w:t>
      </w:r>
      <w:r w:rsidR="002B5C86">
        <w:t>17,</w:t>
      </w:r>
      <w:r w:rsidR="006535F1">
        <w:t xml:space="preserve"> </w:t>
      </w:r>
      <w:r w:rsidR="002B5C86">
        <w:t>1983, and on or before June</w:t>
      </w:r>
      <w:r w:rsidR="006535F1">
        <w:t xml:space="preserve"> </w:t>
      </w:r>
      <w:r w:rsidR="002B5C86">
        <w:t>30,</w:t>
      </w:r>
      <w:r w:rsidR="006535F1">
        <w:t xml:space="preserve"> </w:t>
      </w:r>
      <w:r w:rsidR="00F9723F">
        <w:t xml:space="preserve">2028 </w:t>
      </w:r>
      <w:r>
        <w:t>are covered</w:t>
      </w:r>
      <w:r w:rsidR="002B5C86">
        <w:t>.</w:t>
      </w:r>
      <w:r>
        <w:t xml:space="preserve">  </w:t>
      </w:r>
      <w:r w:rsidR="002B5C86">
        <w:t xml:space="preserve">  </w:t>
      </w:r>
    </w:p>
    <w:p w14:paraId="4CC74F10" w14:textId="77777777" w:rsidR="002B5C86" w:rsidRPr="00C36B26" w:rsidRDefault="002B5C86" w:rsidP="00C36B26">
      <w:pPr>
        <w:keepNext/>
        <w:tabs>
          <w:tab w:val="left" w:pos="720"/>
        </w:tabs>
        <w:spacing w:after="120"/>
        <w:jc w:val="center"/>
        <w:rPr>
          <w:u w:val="single"/>
        </w:rPr>
      </w:pPr>
      <w:r w:rsidRPr="00C36B26">
        <w:rPr>
          <w:u w:val="single"/>
        </w:rPr>
        <w:t>Title 200 Application Phases</w:t>
      </w:r>
    </w:p>
    <w:p w14:paraId="3E2AACDC" w14:textId="4C41B946" w:rsidR="001C2F4B" w:rsidRDefault="001C2F4B" w:rsidP="001C2F4B">
      <w:pPr>
        <w:pStyle w:val="rateguidenormal"/>
        <w:keepNext/>
        <w:spacing w:after="120"/>
        <w:rPr>
          <w:rFonts w:ascii="Arial" w:hAnsi="Arial" w:cs="Arial"/>
          <w:kern w:val="16"/>
        </w:rPr>
      </w:pPr>
      <w:r w:rsidRPr="00DB35C7">
        <w:rPr>
          <w:rFonts w:ascii="Arial" w:hAnsi="Arial" w:cs="Arial"/>
          <w:kern w:val="16"/>
        </w:rPr>
        <w:t>Application</w:t>
      </w:r>
      <w:r w:rsidR="00EC5E56">
        <w:rPr>
          <w:rFonts w:ascii="Arial" w:hAnsi="Arial" w:cs="Arial"/>
          <w:kern w:val="16"/>
        </w:rPr>
        <w:t>s</w:t>
      </w:r>
      <w:r w:rsidRPr="00DB35C7">
        <w:rPr>
          <w:rFonts w:ascii="Arial" w:hAnsi="Arial" w:cs="Arial"/>
          <w:kern w:val="16"/>
        </w:rPr>
        <w:t xml:space="preserve"> </w:t>
      </w:r>
      <w:r w:rsidR="00EC5E56">
        <w:rPr>
          <w:rFonts w:ascii="Arial" w:hAnsi="Arial" w:cs="Arial"/>
          <w:kern w:val="16"/>
        </w:rPr>
        <w:t>are</w:t>
      </w:r>
      <w:r w:rsidRPr="00DB35C7">
        <w:rPr>
          <w:rFonts w:ascii="Arial" w:hAnsi="Arial" w:cs="Arial"/>
          <w:kern w:val="16"/>
        </w:rPr>
        <w:t xml:space="preserve"> </w:t>
      </w:r>
      <w:r w:rsidR="002B49B9">
        <w:rPr>
          <w:rFonts w:ascii="Arial" w:hAnsi="Arial" w:cs="Arial"/>
          <w:kern w:val="16"/>
        </w:rPr>
        <w:t xml:space="preserve">sent after </w:t>
      </w:r>
      <w:r w:rsidRPr="00DB35C7">
        <w:rPr>
          <w:rFonts w:ascii="Arial" w:hAnsi="Arial" w:cs="Arial"/>
          <w:kern w:val="16"/>
        </w:rPr>
        <w:t xml:space="preserve">approved </w:t>
      </w:r>
      <w:r w:rsidR="009011EC">
        <w:rPr>
          <w:rFonts w:ascii="Arial" w:hAnsi="Arial" w:cs="Arial"/>
          <w:kern w:val="16"/>
        </w:rPr>
        <w:t xml:space="preserve">remedial </w:t>
      </w:r>
      <w:r>
        <w:rPr>
          <w:rFonts w:ascii="Arial" w:hAnsi="Arial" w:cs="Arial"/>
          <w:kern w:val="16"/>
        </w:rPr>
        <w:t>phases</w:t>
      </w:r>
      <w:r w:rsidRPr="00DB35C7">
        <w:rPr>
          <w:rFonts w:ascii="Arial" w:hAnsi="Arial" w:cs="Arial"/>
          <w:kern w:val="16"/>
        </w:rPr>
        <w:t xml:space="preserve"> </w:t>
      </w:r>
      <w:r w:rsidR="002B49B9">
        <w:rPr>
          <w:rFonts w:ascii="Arial" w:hAnsi="Arial" w:cs="Arial"/>
          <w:kern w:val="16"/>
        </w:rPr>
        <w:t>are completed</w:t>
      </w:r>
      <w:r w:rsidRPr="00DB35C7">
        <w:rPr>
          <w:rFonts w:ascii="Arial" w:hAnsi="Arial" w:cs="Arial"/>
          <w:kern w:val="16"/>
        </w:rPr>
        <w:t>, such as:</w:t>
      </w:r>
    </w:p>
    <w:p w14:paraId="472792EE" w14:textId="3773B4C1" w:rsidR="002F1798" w:rsidRPr="00DB35C7" w:rsidRDefault="002F1798" w:rsidP="002F1798">
      <w:pPr>
        <w:pStyle w:val="ratebullet2"/>
        <w:spacing w:after="120"/>
        <w:rPr>
          <w:rFonts w:ascii="Arial" w:hAnsi="Arial" w:cs="Arial"/>
          <w:kern w:val="16"/>
        </w:rPr>
      </w:pPr>
      <w:r>
        <w:rPr>
          <w:rFonts w:ascii="Arial" w:hAnsi="Arial" w:cs="Arial"/>
          <w:kern w:val="16"/>
        </w:rPr>
        <w:t xml:space="preserve">Closure Assessment Report (limited).  </w:t>
      </w:r>
    </w:p>
    <w:p w14:paraId="6B1B917A" w14:textId="27A6C364" w:rsidR="001C2F4B" w:rsidRPr="00DB35C7" w:rsidRDefault="001C2F4B" w:rsidP="001C2F4B">
      <w:pPr>
        <w:pStyle w:val="ratebullet2"/>
        <w:spacing w:after="120"/>
        <w:rPr>
          <w:rFonts w:ascii="Arial" w:hAnsi="Arial" w:cs="Arial"/>
          <w:kern w:val="16"/>
        </w:rPr>
      </w:pPr>
      <w:r w:rsidRPr="00DB35C7">
        <w:rPr>
          <w:rFonts w:ascii="Arial" w:hAnsi="Arial" w:cs="Arial"/>
          <w:kern w:val="16"/>
        </w:rPr>
        <w:t xml:space="preserve">Site Investigation (i.e., Tier 1, </w:t>
      </w:r>
      <w:r w:rsidR="00920DDD">
        <w:rPr>
          <w:rFonts w:ascii="Arial" w:hAnsi="Arial" w:cs="Arial"/>
          <w:kern w:val="16"/>
        </w:rPr>
        <w:t xml:space="preserve">or </w:t>
      </w:r>
      <w:r w:rsidRPr="00DB35C7">
        <w:rPr>
          <w:rFonts w:ascii="Arial" w:hAnsi="Arial" w:cs="Arial"/>
          <w:kern w:val="16"/>
        </w:rPr>
        <w:t>Tier 2 Report).</w:t>
      </w:r>
    </w:p>
    <w:p w14:paraId="1BA8E5CA" w14:textId="43398E48" w:rsidR="001C2F4B" w:rsidRPr="00DB35C7" w:rsidRDefault="001C2F4B" w:rsidP="001C2F4B">
      <w:pPr>
        <w:pStyle w:val="ratebullet2"/>
        <w:spacing w:after="120"/>
        <w:rPr>
          <w:rFonts w:ascii="Arial" w:hAnsi="Arial" w:cs="Arial"/>
          <w:kern w:val="16"/>
        </w:rPr>
      </w:pPr>
      <w:r w:rsidRPr="00DB35C7">
        <w:rPr>
          <w:rFonts w:ascii="Arial" w:hAnsi="Arial" w:cs="Arial"/>
          <w:kern w:val="16"/>
        </w:rPr>
        <w:t>Remedial Action Plan.</w:t>
      </w:r>
    </w:p>
    <w:p w14:paraId="39844296" w14:textId="4AC62A95" w:rsidR="001C2F4B" w:rsidRPr="00DB35C7" w:rsidRDefault="001C2F4B" w:rsidP="001C2F4B">
      <w:pPr>
        <w:pStyle w:val="ratebullet2"/>
        <w:spacing w:after="120"/>
        <w:rPr>
          <w:rFonts w:ascii="Arial" w:hAnsi="Arial" w:cs="Arial"/>
          <w:kern w:val="16"/>
        </w:rPr>
      </w:pPr>
      <w:r w:rsidRPr="00DB35C7">
        <w:rPr>
          <w:rFonts w:ascii="Arial" w:hAnsi="Arial" w:cs="Arial"/>
          <w:kern w:val="16"/>
        </w:rPr>
        <w:t>Remedial System Installation.</w:t>
      </w:r>
    </w:p>
    <w:p w14:paraId="21FB43EB" w14:textId="6300D103" w:rsidR="001C2F4B" w:rsidRPr="00DB35C7" w:rsidRDefault="001C2F4B" w:rsidP="001C2F4B">
      <w:pPr>
        <w:pStyle w:val="ratebullet2"/>
        <w:spacing w:after="120"/>
        <w:rPr>
          <w:rFonts w:ascii="Arial" w:hAnsi="Arial" w:cs="Arial"/>
          <w:kern w:val="16"/>
        </w:rPr>
      </w:pPr>
      <w:r w:rsidRPr="00DB35C7">
        <w:rPr>
          <w:rFonts w:ascii="Arial" w:hAnsi="Arial" w:cs="Arial"/>
          <w:kern w:val="16"/>
        </w:rPr>
        <w:t>Monitoring Reports.</w:t>
      </w:r>
    </w:p>
    <w:p w14:paraId="3F695687" w14:textId="43A29E1B" w:rsidR="001C2F4B" w:rsidRPr="00DB35C7" w:rsidRDefault="001C2F4B" w:rsidP="001C2F4B">
      <w:pPr>
        <w:pStyle w:val="ratebullet2"/>
        <w:spacing w:after="120"/>
        <w:rPr>
          <w:rFonts w:ascii="Arial" w:hAnsi="Arial" w:cs="Arial"/>
          <w:kern w:val="16"/>
        </w:rPr>
      </w:pPr>
      <w:r w:rsidRPr="00DB35C7">
        <w:rPr>
          <w:rFonts w:ascii="Arial" w:hAnsi="Arial" w:cs="Arial"/>
          <w:kern w:val="16"/>
        </w:rPr>
        <w:t>Well abandonment, equipment removal, and other site closure activities; or</w:t>
      </w:r>
    </w:p>
    <w:p w14:paraId="47294FCF" w14:textId="308D8EED" w:rsidR="001C2F4B" w:rsidRDefault="001C2F4B" w:rsidP="001C2F4B">
      <w:pPr>
        <w:pStyle w:val="ratebullet2"/>
        <w:spacing w:after="120"/>
        <w:rPr>
          <w:rFonts w:ascii="Arial" w:hAnsi="Arial" w:cs="Arial"/>
          <w:kern w:val="16"/>
        </w:rPr>
      </w:pPr>
      <w:r w:rsidRPr="00DB35C7">
        <w:rPr>
          <w:rFonts w:ascii="Arial" w:hAnsi="Arial" w:cs="Arial"/>
          <w:kern w:val="16"/>
        </w:rPr>
        <w:t xml:space="preserve">Other </w:t>
      </w:r>
      <w:r w:rsidR="002B49B9">
        <w:rPr>
          <w:rFonts w:ascii="Arial" w:hAnsi="Arial" w:cs="Arial"/>
          <w:kern w:val="16"/>
        </w:rPr>
        <w:t xml:space="preserve">approved </w:t>
      </w:r>
      <w:r w:rsidRPr="00DB35C7">
        <w:rPr>
          <w:rFonts w:ascii="Arial" w:hAnsi="Arial" w:cs="Arial"/>
          <w:kern w:val="16"/>
        </w:rPr>
        <w:t>activities.</w:t>
      </w:r>
    </w:p>
    <w:p w14:paraId="117DC67B" w14:textId="1903EFB8" w:rsidR="002B5C86" w:rsidRDefault="002B5C86" w:rsidP="00AE362A">
      <w:pPr>
        <w:tabs>
          <w:tab w:val="left" w:pos="720"/>
        </w:tabs>
        <w:spacing w:after="240"/>
      </w:pPr>
      <w:r>
        <w:t>A</w:t>
      </w:r>
      <w:r w:rsidR="00920DDD">
        <w:t>n</w:t>
      </w:r>
      <w:r>
        <w:t xml:space="preserve"> application must be submitted within </w:t>
      </w:r>
      <w:r w:rsidR="00217CB0">
        <w:rPr>
          <w:b/>
          <w:bCs/>
        </w:rPr>
        <w:t>one year</w:t>
      </w:r>
      <w:r>
        <w:t xml:space="preserve"> of the compliance date </w:t>
      </w:r>
      <w:r w:rsidR="008E4413">
        <w:t>or the date the report is received</w:t>
      </w:r>
      <w:r>
        <w:t xml:space="preserve">.  </w:t>
      </w:r>
      <w:r w:rsidR="007C1B39">
        <w:t>R</w:t>
      </w:r>
      <w:r w:rsidR="001F761B">
        <w:t xml:space="preserve">eimbursement may be reduced up to 100% if </w:t>
      </w:r>
      <w:r w:rsidR="004E0EA4">
        <w:t xml:space="preserve">the </w:t>
      </w:r>
      <w:r w:rsidR="001F761B">
        <w:t xml:space="preserve">application </w:t>
      </w:r>
      <w:r w:rsidR="002B49B9">
        <w:t>does not meet this deadline</w:t>
      </w:r>
      <w:r w:rsidR="001F761B">
        <w:t xml:space="preserve">.  </w:t>
      </w:r>
      <w:r w:rsidR="002B49B9">
        <w:t xml:space="preserve">This applies only after costs exceed </w:t>
      </w:r>
      <w:r>
        <w:t>the initial deductible.</w:t>
      </w:r>
      <w:r w:rsidR="002B49B9">
        <w:t xml:space="preserve">  </w:t>
      </w:r>
    </w:p>
    <w:p w14:paraId="2134207F" w14:textId="77777777" w:rsidR="002B5C86" w:rsidRDefault="002B5C86" w:rsidP="00B35E0C">
      <w:pPr>
        <w:keepNext/>
        <w:tabs>
          <w:tab w:val="left" w:pos="720"/>
        </w:tabs>
        <w:spacing w:after="120"/>
        <w:jc w:val="center"/>
        <w:rPr>
          <w:u w:val="single"/>
        </w:rPr>
      </w:pPr>
      <w:r>
        <w:rPr>
          <w:u w:val="single"/>
        </w:rPr>
        <w:t>Deductible and Co-payment Requirements</w:t>
      </w:r>
    </w:p>
    <w:p w14:paraId="67CF6A5F" w14:textId="347109B5" w:rsidR="00AE362A" w:rsidRDefault="009011EC" w:rsidP="00AE362A">
      <w:pPr>
        <w:tabs>
          <w:tab w:val="left" w:pos="720"/>
        </w:tabs>
        <w:spacing w:after="240"/>
      </w:pPr>
      <w:r>
        <w:t>The first application is sent after costs exceed the deductible amount</w:t>
      </w:r>
      <w:r w:rsidR="002B5C86">
        <w:t xml:space="preserve">.  </w:t>
      </w:r>
      <w:r w:rsidR="00D101D7">
        <w:t>RP</w:t>
      </w:r>
      <w:r w:rsidR="002B5C86">
        <w:t>s</w:t>
      </w:r>
      <w:r>
        <w:t xml:space="preserve"> then</w:t>
      </w:r>
      <w:r w:rsidR="002B5C86">
        <w:t xml:space="preserve"> apply for 75% of eligible costs until their co-payment is met.  After </w:t>
      </w:r>
      <w:r w:rsidR="007C1B39">
        <w:t xml:space="preserve">both are </w:t>
      </w:r>
      <w:r w:rsidR="002B5C86">
        <w:t xml:space="preserve">met, </w:t>
      </w:r>
      <w:r w:rsidR="00D101D7">
        <w:t>RP</w:t>
      </w:r>
      <w:r w:rsidR="002B5C86">
        <w:t>s apply for 100% of eligible costs</w:t>
      </w:r>
      <w:r w:rsidR="00021471">
        <w:t xml:space="preserve"> </w:t>
      </w:r>
      <w:r w:rsidR="00B35E0C">
        <w:t xml:space="preserve">until the </w:t>
      </w:r>
      <w:r w:rsidR="008E4413">
        <w:t xml:space="preserve">release is closed or the </w:t>
      </w:r>
      <w:r w:rsidR="002B5C86">
        <w:t xml:space="preserve">limit </w:t>
      </w:r>
      <w:r w:rsidR="008E4413">
        <w:t>is</w:t>
      </w:r>
      <w:r w:rsidR="002B5C86">
        <w:t xml:space="preserve"> reached.</w:t>
      </w:r>
    </w:p>
    <w:p w14:paraId="1B30AE3B" w14:textId="5DFAE8A0" w:rsidR="002A14EF" w:rsidRDefault="00FD7664" w:rsidP="00AE362A">
      <w:pPr>
        <w:tabs>
          <w:tab w:val="left" w:pos="720"/>
        </w:tabs>
        <w:spacing w:after="240"/>
        <w:rPr>
          <w:rFonts w:cs="Arial"/>
          <w:kern w:val="16"/>
        </w:rPr>
      </w:pPr>
      <w:r>
        <w:rPr>
          <w:rFonts w:cs="Arial"/>
          <w:kern w:val="16"/>
        </w:rPr>
        <w:t>M</w:t>
      </w:r>
      <w:r w:rsidRPr="00760671">
        <w:rPr>
          <w:rFonts w:cs="Arial"/>
          <w:kern w:val="16"/>
        </w:rPr>
        <w:t xml:space="preserve">ost </w:t>
      </w:r>
      <w:r w:rsidR="002A14EF">
        <w:rPr>
          <w:rFonts w:cs="Arial"/>
          <w:kern w:val="16"/>
        </w:rPr>
        <w:t>RPs</w:t>
      </w:r>
      <w:r>
        <w:rPr>
          <w:rFonts w:cs="Arial"/>
          <w:kern w:val="16"/>
        </w:rPr>
        <w:t xml:space="preserve"> pay a </w:t>
      </w:r>
      <w:r w:rsidRPr="00760671">
        <w:rPr>
          <w:rFonts w:cs="Arial"/>
          <w:kern w:val="16"/>
        </w:rPr>
        <w:t>$10,000 per release</w:t>
      </w:r>
      <w:r>
        <w:rPr>
          <w:rFonts w:cs="Arial"/>
          <w:kern w:val="16"/>
        </w:rPr>
        <w:t xml:space="preserve"> deductible </w:t>
      </w:r>
      <w:r w:rsidRPr="00760671">
        <w:rPr>
          <w:rFonts w:cs="Arial"/>
          <w:kern w:val="16"/>
        </w:rPr>
        <w:t>with a</w:t>
      </w:r>
      <w:r>
        <w:rPr>
          <w:rFonts w:cs="Arial"/>
          <w:kern w:val="16"/>
        </w:rPr>
        <w:t xml:space="preserve"> 25%</w:t>
      </w:r>
      <w:r w:rsidRPr="00760671">
        <w:rPr>
          <w:rFonts w:cs="Arial"/>
          <w:kern w:val="16"/>
        </w:rPr>
        <w:t xml:space="preserve"> co-payment of up to $15,000.  After the </w:t>
      </w:r>
      <w:r>
        <w:rPr>
          <w:rFonts w:cs="Arial"/>
          <w:kern w:val="16"/>
        </w:rPr>
        <w:t>RP</w:t>
      </w:r>
      <w:r w:rsidRPr="00760671">
        <w:rPr>
          <w:rFonts w:cs="Arial"/>
          <w:kern w:val="16"/>
        </w:rPr>
        <w:t xml:space="preserve"> has met the $25,000 deductible and co-payment obligation,</w:t>
      </w:r>
      <w:r>
        <w:rPr>
          <w:rFonts w:cs="Arial"/>
          <w:kern w:val="16"/>
        </w:rPr>
        <w:t xml:space="preserve"> 100%</w:t>
      </w:r>
      <w:r w:rsidRPr="00760671">
        <w:rPr>
          <w:rFonts w:cs="Arial"/>
          <w:kern w:val="16"/>
        </w:rPr>
        <w:t xml:space="preserve"> reimbursement of all eligible expenses</w:t>
      </w:r>
      <w:r>
        <w:rPr>
          <w:rFonts w:cs="Arial"/>
          <w:kern w:val="16"/>
        </w:rPr>
        <w:t xml:space="preserve"> is made</w:t>
      </w:r>
      <w:r w:rsidR="00021471">
        <w:rPr>
          <w:rFonts w:cs="Arial"/>
          <w:kern w:val="16"/>
        </w:rPr>
        <w:t xml:space="preserve"> up to $975,000.  </w:t>
      </w:r>
    </w:p>
    <w:p w14:paraId="5D2BC705" w14:textId="77777777" w:rsidR="00920DDD" w:rsidRDefault="00920DDD" w:rsidP="00AE362A">
      <w:pPr>
        <w:tabs>
          <w:tab w:val="left" w:pos="720"/>
        </w:tabs>
        <w:spacing w:after="240"/>
      </w:pPr>
      <w:r>
        <w:br w:type="page"/>
      </w:r>
    </w:p>
    <w:p w14:paraId="3598E09B" w14:textId="718D84C7" w:rsidR="002B5C86" w:rsidRDefault="002A14EF" w:rsidP="00AE362A">
      <w:pPr>
        <w:tabs>
          <w:tab w:val="left" w:pos="720"/>
        </w:tabs>
        <w:spacing w:after="240"/>
      </w:pPr>
      <w:r>
        <w:t>Some</w:t>
      </w:r>
      <w:r w:rsidR="002B5C86">
        <w:t xml:space="preserve"> </w:t>
      </w:r>
      <w:r w:rsidR="00D101D7">
        <w:t>RP</w:t>
      </w:r>
      <w:r>
        <w:t>s</w:t>
      </w:r>
      <w:r w:rsidR="002B5C86">
        <w:t xml:space="preserve"> qualify for a lower deductible and </w:t>
      </w:r>
      <w:r w:rsidR="00FC1CFE">
        <w:t>co-payment if</w:t>
      </w:r>
      <w:r w:rsidR="00AE362A">
        <w:t xml:space="preserve"> </w:t>
      </w:r>
      <w:r w:rsidR="008E4413">
        <w:t xml:space="preserve">they are </w:t>
      </w:r>
      <w:r w:rsidR="00AE362A">
        <w:t>either:</w:t>
      </w:r>
    </w:p>
    <w:p w14:paraId="44ED659D" w14:textId="77777777" w:rsidR="00B35E0C" w:rsidRDefault="00B35E0C" w:rsidP="008A576C">
      <w:pPr>
        <w:numPr>
          <w:ilvl w:val="0"/>
          <w:numId w:val="2"/>
        </w:numPr>
        <w:spacing w:after="240"/>
      </w:pPr>
      <w:r>
        <w:t>A marketer who sold more than 2,000 but less than 250,000 gallons of petroleum at all facilities in the calendar year prior to the year the release was first reported.</w:t>
      </w:r>
    </w:p>
    <w:p w14:paraId="62600090" w14:textId="38549EC3" w:rsidR="00B35E0C" w:rsidRDefault="00572C2D" w:rsidP="008A576C">
      <w:pPr>
        <w:numPr>
          <w:ilvl w:val="0"/>
          <w:numId w:val="3"/>
        </w:numPr>
        <w:spacing w:after="240"/>
      </w:pPr>
      <w:r>
        <w:t>A</w:t>
      </w:r>
      <w:r w:rsidR="002A14EF">
        <w:t>n RP who</w:t>
      </w:r>
      <w:r>
        <w:t xml:space="preserve"> store</w:t>
      </w:r>
      <w:r w:rsidR="002A14EF">
        <w:t xml:space="preserve">s petroleum for personal or business use, </w:t>
      </w:r>
      <w:r w:rsidR="009011EC">
        <w:t>who</w:t>
      </w:r>
      <w:r w:rsidR="00B35E0C">
        <w:t xml:space="preserve"> stored less than 10,000 gallons at all facilities in the calendar year prior to the year the release was first reported.  </w:t>
      </w:r>
    </w:p>
    <w:p w14:paraId="18028DED" w14:textId="019220A4" w:rsidR="002B5C86" w:rsidRDefault="001A6285" w:rsidP="00B35E0C">
      <w:pPr>
        <w:tabs>
          <w:tab w:val="left" w:pos="720"/>
        </w:tabs>
        <w:spacing w:after="240"/>
      </w:pPr>
      <w:r>
        <w:t xml:space="preserve">An RP classified as </w:t>
      </w:r>
      <w:r w:rsidR="003B708B">
        <w:t>low volume</w:t>
      </w:r>
      <w:r w:rsidR="008A576C">
        <w:t xml:space="preserve"> has a </w:t>
      </w:r>
      <w:r w:rsidR="002B5C86">
        <w:t>$5,000</w:t>
      </w:r>
      <w:r w:rsidR="008A576C">
        <w:t xml:space="preserve"> deductible with a 25% co-payment of up to $10,000.  After the RP has met the $15,000 deductible and co-payment obligation, 100% reimbursement of all eligible expenses is made</w:t>
      </w:r>
      <w:r w:rsidR="00021471">
        <w:t xml:space="preserve"> up to $985,000</w:t>
      </w:r>
      <w:r w:rsidR="002B5C86">
        <w:t xml:space="preserve">.  </w:t>
      </w:r>
      <w:r w:rsidR="00FC1CFE">
        <w:t>To</w:t>
      </w:r>
      <w:r w:rsidR="002B5C86">
        <w:t xml:space="preserve"> be </w:t>
      </w:r>
      <w:r>
        <w:t>classified as</w:t>
      </w:r>
      <w:r w:rsidR="002B5C86">
        <w:t xml:space="preserve"> low-volume, an </w:t>
      </w:r>
      <w:r w:rsidR="00AE362A">
        <w:t>“</w:t>
      </w:r>
      <w:r w:rsidR="002B5C86">
        <w:t>Application for Low-Volume Classification</w:t>
      </w:r>
      <w:r w:rsidR="00AE362A">
        <w:t>”</w:t>
      </w:r>
      <w:r w:rsidR="004E0EA4">
        <w:t xml:space="preserve"> is needed.   </w:t>
      </w:r>
    </w:p>
    <w:p w14:paraId="350B6902" w14:textId="77777777" w:rsidR="002B5C86" w:rsidRPr="00B35E0C" w:rsidRDefault="002B5C86" w:rsidP="00B35E0C">
      <w:pPr>
        <w:keepNext/>
        <w:tabs>
          <w:tab w:val="left" w:pos="720"/>
        </w:tabs>
        <w:spacing w:after="120"/>
        <w:jc w:val="center"/>
        <w:rPr>
          <w:u w:val="single"/>
        </w:rPr>
      </w:pPr>
      <w:r>
        <w:rPr>
          <w:u w:val="single"/>
        </w:rPr>
        <w:t>General Eligibility Issues</w:t>
      </w:r>
    </w:p>
    <w:p w14:paraId="11C83624" w14:textId="036F0544" w:rsidR="002B5C86" w:rsidRDefault="00472685" w:rsidP="00AE362A">
      <w:pPr>
        <w:tabs>
          <w:tab w:val="left" w:pos="720"/>
        </w:tabs>
        <w:spacing w:after="240"/>
      </w:pPr>
      <w:r>
        <w:t xml:space="preserve">Statute directs Title 200 staff to reimburse </w:t>
      </w:r>
      <w:r w:rsidR="002B5C86">
        <w:t>actual</w:t>
      </w:r>
      <w:r>
        <w:t xml:space="preserve">, </w:t>
      </w:r>
      <w:r w:rsidR="002B5C86">
        <w:t xml:space="preserve">reasonable, and eligible costs </w:t>
      </w:r>
      <w:r>
        <w:t>for</w:t>
      </w:r>
      <w:r w:rsidR="002B5C86">
        <w:t xml:space="preserve"> </w:t>
      </w:r>
      <w:r w:rsidR="00572C2D">
        <w:t>N</w:t>
      </w:r>
      <w:r w:rsidR="00AA3A9E">
        <w:t>DEE</w:t>
      </w:r>
      <w:r w:rsidR="002B5C86">
        <w:t>-approved remedial action</w:t>
      </w:r>
      <w:r>
        <w:t>s</w:t>
      </w:r>
      <w:r w:rsidR="002B5C86">
        <w:t xml:space="preserve">.  </w:t>
      </w:r>
      <w:r>
        <w:t>To do this e</w:t>
      </w:r>
      <w:r w:rsidR="002B5C86">
        <w:t xml:space="preserve">ach application </w:t>
      </w:r>
      <w:r w:rsidR="002F1798">
        <w:t>review</w:t>
      </w:r>
      <w:r w:rsidR="00FC1CFE">
        <w:t xml:space="preserve"> </w:t>
      </w:r>
      <w:r w:rsidR="002F1798">
        <w:t xml:space="preserve">compares the invoices to the </w:t>
      </w:r>
      <w:r>
        <w:t xml:space="preserve">information in the technical </w:t>
      </w:r>
      <w:r w:rsidR="002F1798">
        <w:t>report</w:t>
      </w:r>
      <w:r>
        <w:t xml:space="preserve">(s). </w:t>
      </w:r>
      <w:r w:rsidR="002B5C86">
        <w:t xml:space="preserve"> More information </w:t>
      </w:r>
      <w:r w:rsidR="00FC1CFE">
        <w:t>is</w:t>
      </w:r>
      <w:r w:rsidR="002B5C86">
        <w:t xml:space="preserve"> found in the Reasonable Rate Schedule and Reimbursement Guidance Manual.  </w:t>
      </w:r>
    </w:p>
    <w:p w14:paraId="48D1B056" w14:textId="77777777" w:rsidR="002B5C86" w:rsidRPr="00B35E0C" w:rsidRDefault="002B5C86" w:rsidP="00B35E0C">
      <w:pPr>
        <w:keepNext/>
        <w:tabs>
          <w:tab w:val="left" w:pos="720"/>
        </w:tabs>
        <w:spacing w:after="120"/>
        <w:jc w:val="center"/>
        <w:rPr>
          <w:u w:val="single"/>
        </w:rPr>
      </w:pPr>
      <w:r>
        <w:rPr>
          <w:u w:val="single"/>
        </w:rPr>
        <w:t>Factors That May Reduce Reimbursements</w:t>
      </w:r>
    </w:p>
    <w:p w14:paraId="2F66A1FE" w14:textId="7FD0FC78" w:rsidR="002B5C86" w:rsidRDefault="003B708B" w:rsidP="001A6285">
      <w:pPr>
        <w:tabs>
          <w:tab w:val="left" w:pos="720"/>
        </w:tabs>
        <w:spacing w:after="240"/>
      </w:pPr>
      <w:r>
        <w:t>R</w:t>
      </w:r>
      <w:r w:rsidR="002B5C86">
        <w:t xml:space="preserve">eimbursements to </w:t>
      </w:r>
      <w:r w:rsidR="00D101D7">
        <w:t>RP</w:t>
      </w:r>
      <w:r w:rsidR="002B5C86">
        <w:t xml:space="preserve">s may be reduced up to 100% for </w:t>
      </w:r>
      <w:r w:rsidR="00CE3A6A">
        <w:t xml:space="preserve">failure to comply </w:t>
      </w:r>
      <w:r w:rsidR="002B5C86">
        <w:t>with the rules and regulations of the State Fire Marshal, the N</w:t>
      </w:r>
      <w:r w:rsidR="00AA3A9E">
        <w:t>DEE</w:t>
      </w:r>
      <w:r w:rsidR="002B5C86">
        <w:t xml:space="preserve"> and other agencies</w:t>
      </w:r>
      <w:r>
        <w:t xml:space="preserve">, pursuant to Neb. Rev. Stat. </w:t>
      </w:r>
      <w:r>
        <w:rPr>
          <w:rFonts w:cs="Arial"/>
        </w:rPr>
        <w:t>§</w:t>
      </w:r>
      <w:r>
        <w:t>66-1525</w:t>
      </w:r>
      <w:r w:rsidR="002B5C86">
        <w:t xml:space="preserve">.  </w:t>
      </w:r>
      <w:r w:rsidR="007C1B39">
        <w:t>R</w:t>
      </w:r>
      <w:r w:rsidR="002B5C86">
        <w:t>eimbursement</w:t>
      </w:r>
      <w:r w:rsidR="007C1B39">
        <w:t>s</w:t>
      </w:r>
      <w:r w:rsidR="002B5C86">
        <w:t xml:space="preserve"> may also be reduced for the failure to </w:t>
      </w:r>
      <w:r w:rsidR="006535F1">
        <w:t>submit the report by the compliance date or apply for reimbursement within one year of the report date</w:t>
      </w:r>
      <w:r w:rsidR="002B5C86">
        <w:t>.</w:t>
      </w:r>
      <w:r w:rsidR="007C1B39">
        <w:t xml:space="preserve">  More detailed information is found in the Reimbursement Reduction Guidance</w:t>
      </w:r>
      <w:r w:rsidR="006535F1">
        <w:t xml:space="preserve"> document</w:t>
      </w:r>
      <w:r w:rsidR="007C1B39">
        <w:t xml:space="preserve">.  </w:t>
      </w:r>
    </w:p>
    <w:p w14:paraId="0F616372" w14:textId="77777777" w:rsidR="002B5C86" w:rsidRDefault="002B5C86" w:rsidP="00B35E0C">
      <w:pPr>
        <w:pBdr>
          <w:bottom w:val="single" w:sz="4" w:space="1" w:color="auto"/>
        </w:pBdr>
        <w:tabs>
          <w:tab w:val="right" w:pos="10080"/>
        </w:tabs>
        <w:spacing w:line="192" w:lineRule="auto"/>
        <w:ind w:left="-450" w:firstLine="450"/>
      </w:pPr>
    </w:p>
    <w:p w14:paraId="2630BB8C" w14:textId="3B33BA3A" w:rsidR="002B5C86" w:rsidRDefault="002B5C86" w:rsidP="00B35E0C">
      <w:pPr>
        <w:tabs>
          <w:tab w:val="right" w:pos="10080"/>
        </w:tabs>
        <w:spacing w:before="40" w:line="192" w:lineRule="auto"/>
        <w:rPr>
          <w:b/>
          <w:i/>
          <w:sz w:val="20"/>
        </w:rPr>
      </w:pPr>
      <w:r>
        <w:rPr>
          <w:i/>
          <w:sz w:val="20"/>
        </w:rPr>
        <w:t>Nebraska Department of Environment</w:t>
      </w:r>
      <w:r w:rsidR="009364A7">
        <w:rPr>
          <w:i/>
          <w:sz w:val="20"/>
        </w:rPr>
        <w:t xml:space="preserve"> and Energy</w:t>
      </w:r>
      <w:r>
        <w:rPr>
          <w:i/>
          <w:sz w:val="20"/>
        </w:rPr>
        <w:t>, Petroleum Remediation Section, P.O. Box 98922, Lincoln, NE  68509-8922; phone (402) 471-2186.  To view this, and other information related to our agency, visit our web site at</w:t>
      </w:r>
      <w:r w:rsidR="00E47CCD">
        <w:rPr>
          <w:i/>
          <w:sz w:val="20"/>
        </w:rPr>
        <w:t xml:space="preserve"> </w:t>
      </w:r>
      <w:hyperlink r:id="rId8" w:history="1">
        <w:r w:rsidR="00E47CCD" w:rsidRPr="00A8164E">
          <w:rPr>
            <w:rStyle w:val="Hyperlink"/>
            <w:i/>
            <w:sz w:val="20"/>
          </w:rPr>
          <w:t>https://dee.n</w:t>
        </w:r>
        <w:r w:rsidR="00E47CCD" w:rsidRPr="00A8164E">
          <w:rPr>
            <w:rStyle w:val="Hyperlink"/>
            <w:i/>
            <w:sz w:val="20"/>
          </w:rPr>
          <w:t>ebraska.gov</w:t>
        </w:r>
      </w:hyperlink>
      <w:r w:rsidR="00E47CCD">
        <w:rPr>
          <w:i/>
          <w:sz w:val="20"/>
        </w:rPr>
        <w:t xml:space="preserve">  </w:t>
      </w:r>
    </w:p>
    <w:p w14:paraId="3697A700" w14:textId="77777777" w:rsidR="002B5C86" w:rsidRPr="00572C2D" w:rsidRDefault="002B5C86" w:rsidP="00572C2D">
      <w:pPr>
        <w:tabs>
          <w:tab w:val="right" w:pos="10080"/>
        </w:tabs>
        <w:spacing w:line="192" w:lineRule="auto"/>
        <w:rPr>
          <w:szCs w:val="22"/>
        </w:rPr>
      </w:pPr>
    </w:p>
    <w:sectPr w:rsidR="002B5C86" w:rsidRPr="00572C2D" w:rsidSect="007A6DC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19F62" w14:textId="77777777" w:rsidR="0027179E" w:rsidRDefault="0027179E" w:rsidP="001B60F9">
      <w:r>
        <w:separator/>
      </w:r>
    </w:p>
  </w:endnote>
  <w:endnote w:type="continuationSeparator" w:id="0">
    <w:p w14:paraId="04A34C61" w14:textId="77777777" w:rsidR="0027179E" w:rsidRDefault="0027179E" w:rsidP="001B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5EA4" w14:textId="77777777" w:rsidR="001B60F9" w:rsidRDefault="001B6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946D" w14:textId="77777777" w:rsidR="001B60F9" w:rsidRDefault="001B6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DABA" w14:textId="77777777" w:rsidR="001B60F9" w:rsidRDefault="001B6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E506A" w14:textId="77777777" w:rsidR="0027179E" w:rsidRDefault="0027179E" w:rsidP="001B60F9">
      <w:r>
        <w:separator/>
      </w:r>
    </w:p>
  </w:footnote>
  <w:footnote w:type="continuationSeparator" w:id="0">
    <w:p w14:paraId="76D2854B" w14:textId="77777777" w:rsidR="0027179E" w:rsidRDefault="0027179E" w:rsidP="001B6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0ED1" w14:textId="77777777" w:rsidR="001B60F9" w:rsidRDefault="001B6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CECC" w14:textId="01F7343A" w:rsidR="001B60F9" w:rsidRDefault="001B60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F716" w14:textId="77777777" w:rsidR="001B60F9" w:rsidRDefault="001B6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648E3"/>
    <w:multiLevelType w:val="hybridMultilevel"/>
    <w:tmpl w:val="502E8C2C"/>
    <w:lvl w:ilvl="0" w:tplc="1BD4FFDA">
      <w:start w:val="1"/>
      <w:numFmt w:val="bullet"/>
      <w:pStyle w:val="ratebulle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D45050"/>
    <w:multiLevelType w:val="hybridMultilevel"/>
    <w:tmpl w:val="C3C059C0"/>
    <w:lvl w:ilvl="0" w:tplc="874A98A6">
      <w:start w:val="1"/>
      <w:numFmt w:val="decimal"/>
      <w:lvlText w:val="(%1)"/>
      <w:lvlJc w:val="left"/>
      <w:pPr>
        <w:ind w:left="72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503AD3"/>
    <w:multiLevelType w:val="hybridMultilevel"/>
    <w:tmpl w:val="BF0E22A6"/>
    <w:lvl w:ilvl="0" w:tplc="0409000B">
      <w:start w:val="1"/>
      <w:numFmt w:val="bullet"/>
      <w:lvlText w:val=""/>
      <w:lvlJc w:val="left"/>
      <w:pPr>
        <w:ind w:left="720" w:hanging="360"/>
      </w:pPr>
      <w:rPr>
        <w:rFonts w:ascii="Wingdings" w:hAnsi="Wingding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2414E3"/>
    <w:multiLevelType w:val="hybridMultilevel"/>
    <w:tmpl w:val="F26CCC26"/>
    <w:lvl w:ilvl="0" w:tplc="0409000B">
      <w:start w:val="1"/>
      <w:numFmt w:val="bullet"/>
      <w:lvlText w:val=""/>
      <w:lvlJc w:val="left"/>
      <w:pPr>
        <w:ind w:left="720" w:hanging="360"/>
      </w:pPr>
      <w:rPr>
        <w:rFonts w:ascii="Wingdings" w:hAnsi="Wingding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18205">
    <w:abstractNumId w:val="1"/>
  </w:num>
  <w:num w:numId="2" w16cid:durableId="413866986">
    <w:abstractNumId w:val="3"/>
  </w:num>
  <w:num w:numId="3" w16cid:durableId="187525231">
    <w:abstractNumId w:val="2"/>
  </w:num>
  <w:num w:numId="4" w16cid:durableId="20860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CB0"/>
    <w:rsid w:val="00021471"/>
    <w:rsid w:val="0009284F"/>
    <w:rsid w:val="00130D66"/>
    <w:rsid w:val="00136A85"/>
    <w:rsid w:val="001A2451"/>
    <w:rsid w:val="001A376C"/>
    <w:rsid w:val="001A6285"/>
    <w:rsid w:val="001B4C95"/>
    <w:rsid w:val="001B60F9"/>
    <w:rsid w:val="001C2F4B"/>
    <w:rsid w:val="001F761B"/>
    <w:rsid w:val="00217CB0"/>
    <w:rsid w:val="0023045D"/>
    <w:rsid w:val="00252BF1"/>
    <w:rsid w:val="0027179E"/>
    <w:rsid w:val="002A14EF"/>
    <w:rsid w:val="002B49B9"/>
    <w:rsid w:val="002B5C86"/>
    <w:rsid w:val="002C57AC"/>
    <w:rsid w:val="002F1798"/>
    <w:rsid w:val="00301E6B"/>
    <w:rsid w:val="00335427"/>
    <w:rsid w:val="00363D64"/>
    <w:rsid w:val="0036495A"/>
    <w:rsid w:val="00377C5D"/>
    <w:rsid w:val="003B708B"/>
    <w:rsid w:val="003E7C4E"/>
    <w:rsid w:val="00407643"/>
    <w:rsid w:val="00420DD7"/>
    <w:rsid w:val="00437EB9"/>
    <w:rsid w:val="0045067E"/>
    <w:rsid w:val="00466663"/>
    <w:rsid w:val="00472685"/>
    <w:rsid w:val="004B4776"/>
    <w:rsid w:val="004E0EA4"/>
    <w:rsid w:val="004E332B"/>
    <w:rsid w:val="004E3AAD"/>
    <w:rsid w:val="00572C2D"/>
    <w:rsid w:val="005735FE"/>
    <w:rsid w:val="00607440"/>
    <w:rsid w:val="00651065"/>
    <w:rsid w:val="006535F1"/>
    <w:rsid w:val="006F27B7"/>
    <w:rsid w:val="00722D04"/>
    <w:rsid w:val="00784522"/>
    <w:rsid w:val="007A6DCB"/>
    <w:rsid w:val="007C0546"/>
    <w:rsid w:val="007C14A0"/>
    <w:rsid w:val="007C1B39"/>
    <w:rsid w:val="007E6E5A"/>
    <w:rsid w:val="008008A1"/>
    <w:rsid w:val="00801A44"/>
    <w:rsid w:val="008107DB"/>
    <w:rsid w:val="00821108"/>
    <w:rsid w:val="008A576C"/>
    <w:rsid w:val="008D60A4"/>
    <w:rsid w:val="008E4413"/>
    <w:rsid w:val="009011EC"/>
    <w:rsid w:val="00901F0B"/>
    <w:rsid w:val="009162EC"/>
    <w:rsid w:val="00920DDD"/>
    <w:rsid w:val="009364A7"/>
    <w:rsid w:val="00965D03"/>
    <w:rsid w:val="00986291"/>
    <w:rsid w:val="00A26BF3"/>
    <w:rsid w:val="00A34E5A"/>
    <w:rsid w:val="00A52BDA"/>
    <w:rsid w:val="00A838F9"/>
    <w:rsid w:val="00A92D8C"/>
    <w:rsid w:val="00A93BD2"/>
    <w:rsid w:val="00AA030C"/>
    <w:rsid w:val="00AA3A9E"/>
    <w:rsid w:val="00AE362A"/>
    <w:rsid w:val="00B35E0C"/>
    <w:rsid w:val="00B7665E"/>
    <w:rsid w:val="00BA5FF2"/>
    <w:rsid w:val="00BD62BB"/>
    <w:rsid w:val="00C2735A"/>
    <w:rsid w:val="00C331A6"/>
    <w:rsid w:val="00C36B26"/>
    <w:rsid w:val="00C6122B"/>
    <w:rsid w:val="00CE3A6A"/>
    <w:rsid w:val="00D101D7"/>
    <w:rsid w:val="00D87840"/>
    <w:rsid w:val="00DF0B4E"/>
    <w:rsid w:val="00E425CD"/>
    <w:rsid w:val="00E4564A"/>
    <w:rsid w:val="00E47CCD"/>
    <w:rsid w:val="00EC5E56"/>
    <w:rsid w:val="00EF3B3A"/>
    <w:rsid w:val="00EF401B"/>
    <w:rsid w:val="00F440C7"/>
    <w:rsid w:val="00F71162"/>
    <w:rsid w:val="00F9723F"/>
    <w:rsid w:val="00FC1CFE"/>
    <w:rsid w:val="00FD29DF"/>
    <w:rsid w:val="00FD7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78FD5"/>
  <w15:chartTrackingRefBased/>
  <w15:docId w15:val="{A5B28D31-CE3B-45FB-A57C-B4A1AB43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overflowPunct w:val="0"/>
      <w:autoSpaceDE w:val="0"/>
      <w:autoSpaceDN w:val="0"/>
      <w:adjustRightInd w:val="0"/>
      <w:ind w:firstLine="480"/>
      <w:textAlignment w:val="baseline"/>
    </w:pPr>
    <w:rPr>
      <w:rFonts w:ascii="Britannic Bold" w:hAnsi="Britannic Bold"/>
      <w:color w:val="000000"/>
      <w:sz w:val="24"/>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C36B26"/>
    <w:rPr>
      <w:rFonts w:ascii="Tahoma" w:hAnsi="Tahoma" w:cs="Tahoma"/>
      <w:sz w:val="16"/>
      <w:szCs w:val="16"/>
    </w:rPr>
  </w:style>
  <w:style w:type="character" w:customStyle="1" w:styleId="BalloonTextChar">
    <w:name w:val="Balloon Text Char"/>
    <w:link w:val="BalloonText"/>
    <w:uiPriority w:val="99"/>
    <w:semiHidden/>
    <w:rsid w:val="00C36B26"/>
    <w:rPr>
      <w:rFonts w:ascii="Tahoma" w:hAnsi="Tahoma" w:cs="Tahoma"/>
      <w:sz w:val="16"/>
      <w:szCs w:val="16"/>
    </w:rPr>
  </w:style>
  <w:style w:type="paragraph" w:styleId="Header">
    <w:name w:val="header"/>
    <w:basedOn w:val="Normal"/>
    <w:link w:val="HeaderChar"/>
    <w:uiPriority w:val="99"/>
    <w:unhideWhenUsed/>
    <w:rsid w:val="00C36B26"/>
    <w:pPr>
      <w:tabs>
        <w:tab w:val="center" w:pos="4680"/>
        <w:tab w:val="right" w:pos="9360"/>
      </w:tabs>
      <w:overflowPunct/>
      <w:autoSpaceDE/>
      <w:autoSpaceDN/>
      <w:adjustRightInd/>
      <w:textAlignment w:val="auto"/>
    </w:pPr>
    <w:rPr>
      <w:rFonts w:ascii="Times New Roman" w:hAnsi="Times New Roman"/>
      <w:sz w:val="24"/>
      <w:szCs w:val="24"/>
    </w:rPr>
  </w:style>
  <w:style w:type="character" w:customStyle="1" w:styleId="HeaderChar">
    <w:name w:val="Header Char"/>
    <w:link w:val="Header"/>
    <w:uiPriority w:val="99"/>
    <w:rsid w:val="00C36B26"/>
    <w:rPr>
      <w:sz w:val="24"/>
      <w:szCs w:val="24"/>
    </w:rPr>
  </w:style>
  <w:style w:type="character" w:styleId="FollowedHyperlink">
    <w:name w:val="FollowedHyperlink"/>
    <w:basedOn w:val="DefaultParagraphFont"/>
    <w:uiPriority w:val="99"/>
    <w:semiHidden/>
    <w:unhideWhenUsed/>
    <w:rsid w:val="00AA3A9E"/>
    <w:rPr>
      <w:color w:val="954F72" w:themeColor="followedHyperlink"/>
      <w:u w:val="single"/>
    </w:rPr>
  </w:style>
  <w:style w:type="paragraph" w:styleId="Footer">
    <w:name w:val="footer"/>
    <w:basedOn w:val="Normal"/>
    <w:link w:val="FooterChar"/>
    <w:uiPriority w:val="99"/>
    <w:unhideWhenUsed/>
    <w:rsid w:val="001B60F9"/>
    <w:pPr>
      <w:tabs>
        <w:tab w:val="center" w:pos="4680"/>
        <w:tab w:val="right" w:pos="9360"/>
      </w:tabs>
    </w:pPr>
  </w:style>
  <w:style w:type="character" w:customStyle="1" w:styleId="FooterChar">
    <w:name w:val="Footer Char"/>
    <w:basedOn w:val="DefaultParagraphFont"/>
    <w:link w:val="Footer"/>
    <w:uiPriority w:val="99"/>
    <w:rsid w:val="001B60F9"/>
    <w:rPr>
      <w:rFonts w:ascii="Arial" w:hAnsi="Arial"/>
      <w:sz w:val="22"/>
    </w:rPr>
  </w:style>
  <w:style w:type="paragraph" w:customStyle="1" w:styleId="rateguidenormal">
    <w:name w:val="rate guide normal"/>
    <w:basedOn w:val="Normal"/>
    <w:link w:val="rateguidenormalChar"/>
    <w:qFormat/>
    <w:rsid w:val="001C2F4B"/>
    <w:pPr>
      <w:spacing w:after="240"/>
    </w:pPr>
    <w:rPr>
      <w:rFonts w:ascii="Times New Roman" w:hAnsi="Times New Roman"/>
      <w:szCs w:val="22"/>
    </w:rPr>
  </w:style>
  <w:style w:type="character" w:customStyle="1" w:styleId="rateguidenormalChar">
    <w:name w:val="rate guide normal Char"/>
    <w:basedOn w:val="DefaultParagraphFont"/>
    <w:link w:val="rateguidenormal"/>
    <w:rsid w:val="001C2F4B"/>
    <w:rPr>
      <w:sz w:val="22"/>
      <w:szCs w:val="22"/>
    </w:rPr>
  </w:style>
  <w:style w:type="paragraph" w:customStyle="1" w:styleId="ratebullet2">
    <w:name w:val="rate bullet 2"/>
    <w:basedOn w:val="rateguidenormal"/>
    <w:link w:val="ratebullet2Char"/>
    <w:qFormat/>
    <w:rsid w:val="001C2F4B"/>
    <w:pPr>
      <w:numPr>
        <w:numId w:val="4"/>
      </w:numPr>
      <w:tabs>
        <w:tab w:val="left" w:pos="720"/>
      </w:tabs>
    </w:pPr>
  </w:style>
  <w:style w:type="character" w:customStyle="1" w:styleId="ratebullet2Char">
    <w:name w:val="rate bullet 2 Char"/>
    <w:basedOn w:val="rateguidenormalChar"/>
    <w:link w:val="ratebullet2"/>
    <w:rsid w:val="001C2F4B"/>
    <w:rPr>
      <w:sz w:val="22"/>
      <w:szCs w:val="22"/>
    </w:rPr>
  </w:style>
  <w:style w:type="paragraph" w:styleId="Revision">
    <w:name w:val="Revision"/>
    <w:hidden/>
    <w:uiPriority w:val="99"/>
    <w:semiHidden/>
    <w:rsid w:val="00F9723F"/>
    <w:rPr>
      <w:rFonts w:ascii="Arial" w:hAnsi="Arial"/>
      <w:sz w:val="22"/>
    </w:rPr>
  </w:style>
  <w:style w:type="character" w:styleId="UnresolvedMention">
    <w:name w:val="Unresolved Mention"/>
    <w:basedOn w:val="DefaultParagraphFont"/>
    <w:uiPriority w:val="99"/>
    <w:semiHidden/>
    <w:unhideWhenUsed/>
    <w:rsid w:val="00E47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e.nebrask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FACTSH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FACTSH3</Template>
  <TotalTime>3</TotalTime>
  <Pages>1</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Environmental Fact Sheet #00-069</vt:lpstr>
    </vt:vector>
  </TitlesOfParts>
  <Company>State of Nebraska</Company>
  <LinksUpToDate>false</LinksUpToDate>
  <CharactersWithSpaces>3976</CharactersWithSpaces>
  <SharedDoc>false</SharedDoc>
  <HLinks>
    <vt:vector size="6" baseType="variant">
      <vt:variant>
        <vt:i4>4063343</vt:i4>
      </vt:variant>
      <vt:variant>
        <vt:i4>0</vt:i4>
      </vt:variant>
      <vt:variant>
        <vt:i4>0</vt:i4>
      </vt:variant>
      <vt:variant>
        <vt:i4>5</vt:i4>
      </vt:variant>
      <vt:variant>
        <vt:lpwstr>http://www.deq.ne.gov/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Fact Sheet #00-069</dc:title>
  <dc:subject>Summary of Title 200</dc:subject>
  <dc:creator>Mona Wunder</dc:creator>
  <cp:keywords/>
  <cp:lastModifiedBy>Wunder, Mona</cp:lastModifiedBy>
  <cp:revision>4</cp:revision>
  <cp:lastPrinted>2022-06-15T19:05:00Z</cp:lastPrinted>
  <dcterms:created xsi:type="dcterms:W3CDTF">2024-07-22T16:12:00Z</dcterms:created>
  <dcterms:modified xsi:type="dcterms:W3CDTF">2024-12-03T22:20:00Z</dcterms:modified>
</cp:coreProperties>
</file>